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F76F7" w14:textId="77777777" w:rsidR="009251F9" w:rsidRPr="009251F9" w:rsidRDefault="009251F9" w:rsidP="009251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Prawa i obowiązki osoby bezrobotnej</w:t>
      </w:r>
    </w:p>
    <w:p w14:paraId="62B3A4DD" w14:textId="77777777" w:rsidR="009251F9" w:rsidRPr="009251F9" w:rsidRDefault="009251F9" w:rsidP="00925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20C8A8E6" w14:textId="77777777" w:rsidR="009251F9" w:rsidRPr="009251F9" w:rsidRDefault="009251F9" w:rsidP="009251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Prawa osoby bezrobotnej</w:t>
      </w:r>
    </w:p>
    <w:p w14:paraId="4D0447A3" w14:textId="77777777" w:rsidR="009251F9" w:rsidRPr="009251F9" w:rsidRDefault="009251F9" w:rsidP="00925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Jako osoba bezrobotna masz prawo do: </w:t>
      </w:r>
    </w:p>
    <w:p w14:paraId="383D0804" w14:textId="77777777" w:rsidR="009251F9" w:rsidRPr="009251F9" w:rsidRDefault="009251F9" w:rsidP="00925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rejestracji we właściwym powiatowym urzędzie pracy po przedstawieniu niezbędnych dokumentów; </w:t>
      </w:r>
    </w:p>
    <w:p w14:paraId="18694617" w14:textId="77777777" w:rsidR="009251F9" w:rsidRPr="009251F9" w:rsidRDefault="009251F9" w:rsidP="00925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zasiłku dla bezrobotnych, jeżeli spełniasz ustawowe warunki do jego nabycia; </w:t>
      </w:r>
    </w:p>
    <w:p w14:paraId="19B2A285" w14:textId="77777777" w:rsidR="009251F9" w:rsidRPr="009251F9" w:rsidRDefault="009251F9" w:rsidP="00925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korzystania nieodpłatnie z usług rynku pracy, takich jak: </w:t>
      </w:r>
      <w:hyperlink r:id="rId5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pośrednictwo pracy na terenie kraju i za granicą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oraz </w:t>
      </w:r>
      <w:hyperlink r:id="rId6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poradnictwo zawodowe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które jest organizowane w powiatowych i wojewódzkich urzędach pracy; </w:t>
      </w:r>
    </w:p>
    <w:p w14:paraId="75118AB3" w14:textId="77777777" w:rsidR="009251F9" w:rsidRPr="009251F9" w:rsidRDefault="009251F9" w:rsidP="00925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ubiegania się o: </w:t>
      </w:r>
    </w:p>
    <w:p w14:paraId="3D02F2AF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7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zwrot kosztów przejazdu i zakwaterowania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3524EE94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8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środki na podjęcie działalności gospodarczej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hyperlink r:id="rId9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na założenie lub przystąpienie do spółdzielni socjalnej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64E176C9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0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dodatek aktywizacyjny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(dotyczy osób bezrobotnych posiadających prawo do zasiłku dla bezrobotnych); </w:t>
      </w:r>
    </w:p>
    <w:p w14:paraId="3896E0C0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1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refundację kosztów opieki nad każdym dzieckiem do lat 7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0F38F687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2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bon zatrudnieniowy dla bezrobotnego do 30 roku życia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1756452E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3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bon na zasiedlenie dla bezrobotnego do 30 roku życia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63A8A8A9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4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udział w szkoleniach finansowanych ze środków Funduszu Pracy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</w:p>
    <w:p w14:paraId="585B4903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5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udział w przygotowaniu zawodowym dorosłych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410CEE54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6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staż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281FD81F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7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stypendium z tytułu podjęcia dalszej nauki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68B2DB4D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8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dofinansowania do studiów podyplomowych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30940219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19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sfinasowanie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kosztów egzaminów i licencji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39214CDA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20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pożyczkę szkoleniową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4D8E23E2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21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pożyczkę na podjęcie działalności gospodarczej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61036306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22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bon szkoleniowy dla bezrobotnego do 30 roku życia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</w:p>
    <w:p w14:paraId="59FAD9C9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23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bon stażowy dla bezrobotnego do 30 roku życia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0781D07C" w14:textId="77777777" w:rsidR="009251F9" w:rsidRPr="009251F9" w:rsidRDefault="009251F9" w:rsidP="009251F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skierowanie do podmiotów, gmin, pracodawców, przedsiębiorców, na subsydiowane zatrudnienie, np. w ramach prac interwencyjnych, robót publicznych, prac społecznie użytecznych, grantu na telepracę, świadczenia aktywizacyjnego po przerwie związanej z wychowaniem dziecka lub sprawowaniem opieki nad osobą zależną; </w:t>
      </w:r>
    </w:p>
    <w:p w14:paraId="1A27DE12" w14:textId="77777777" w:rsidR="009251F9" w:rsidRPr="009251F9" w:rsidRDefault="009251F9" w:rsidP="009251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ubezpieczenia zdrowotnego, o ile nie podlegasz ubezpieczeniu zdrowotnemu z innego tytułu np. ubezpieczenie rolników w KRUS, z tytułu pobierania renty rodzinnej. </w:t>
      </w:r>
    </w:p>
    <w:p w14:paraId="067F14C9" w14:textId="77777777" w:rsidR="009251F9" w:rsidRPr="009251F9" w:rsidRDefault="009251F9" w:rsidP="009251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Obowiązki osoby bezrobotnej</w:t>
      </w:r>
    </w:p>
    <w:p w14:paraId="544D17FE" w14:textId="77777777" w:rsidR="009251F9" w:rsidRPr="009251F9" w:rsidRDefault="009251F9" w:rsidP="00925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Jeżeli jesteś osobą bezrobotną, zarejestrowaną w powiatowym urzędzie pracy, do Twoich obowiązków należy: </w:t>
      </w:r>
    </w:p>
    <w:p w14:paraId="2C9E5539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zgłaszanie się do właściwego powiatowego urzędu pracy w wyznaczonych terminach w celu przyjęcia propozycji odpowiedniej pracy, innej formy pomocy proponowanej przez urząd lub w innym celu wynikającym z ustawy i określonym przez urząd pracy, w tym, w celu potwierdzenia swojej gotowości do podjęcia zatrudnienia; </w:t>
      </w:r>
    </w:p>
    <w:p w14:paraId="51383F67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powiadomienie powiatowego urzędu pracy w okresie do 7 dni o uzasadnionej przyczynie niestawiennictwa w urzędzie w wyznaczonym terminie; </w:t>
      </w:r>
    </w:p>
    <w:p w14:paraId="75E52822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przyjmowanie propozycji odpowiedniej pracy lub innej formy pomocy określonej w ustawie; </w:t>
      </w:r>
    </w:p>
    <w:p w14:paraId="734198C2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poddanie się badaniom lekarskim lub psychologicznym, mającym na celu ustalenie zdolności do pracy lub udziału w innej formie pomocy określonej w ustawie; </w:t>
      </w:r>
    </w:p>
    <w:p w14:paraId="368E46C9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dostarczanie do powiatowego urzędu pracy zaświadczenia lekarskiego*</w:t>
      </w: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* w przypadku gdy jako bezrobotny pozostajesz niezdolny do pracy wskutek choroby lub przebywasz w zakładzie lecznictwa odwykowego przez nieprzerwany okres 90 dni, przy czym za okres nieprzerwany uważa się również okresy niezdolności do pracy wskutek choroby oraz przebywania w zakładzie lecznictwa odwykowego w sytuacji, gdy każda kolejna przerwa między okresami niezdolności do pracy wynosi mniej niż 30 dni kalendarzowych; pozbawienie statusu osoby bezrobotnej następuje z upływem ostatniego dnia wskazanego okresu 90-dniowego; </w:t>
      </w:r>
    </w:p>
    <w:p w14:paraId="0B3E4DB0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powiadomienie w ciągu 7 dni powiatowego urzędu pracy o podjęciu zatrudnienia, innej pracy zarobkowej (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umowa-zlecenie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umowa o dzieło), bez względu na wysokość wynagrodzenia lub o złożeniu wniosku o wpis do Centralnej Ewidencji i Informacji o Działalności Gospodarczej oraz o zaistnieniu innych okoliczności powodujących utratę statusu bezrobotnego albo utratę prawa do zasiłku (np. uzyskiwania miesięcznie przychodu z innego tytułu w wysokości przekraczającej połowę minimalnego wynagrodzenia za pracę podlegającego opodatkowaniu podatkiem dochodowym od osób fizycznych) - niezgłoszenie tego faktu podlega karze grzywny; </w:t>
      </w:r>
    </w:p>
    <w:p w14:paraId="7037030B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powiadomienie właściwego powiatowego urzędu pracy o każdej zmianie miejsca zameldowania lub pobytu i zgłoszenie się do powiatowego urzędu pracy właściwego dla nowego miejsca zamieszkania w terminie 14 dni od dnia zmiany miejsca zameldowania; </w:t>
      </w:r>
    </w:p>
    <w:p w14:paraId="097CC059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zawiadomienie urzędu o pobycie za granicą lub o innej sytuacji powodującej brak gotowości do podjęcia zatrudnienia (okres ten łącznie nie może przekroczyć 10 dni w jednym roku kalendarzowym); </w:t>
      </w:r>
    </w:p>
    <w:p w14:paraId="11EBD9D8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powiadomienie powiatowego urzędu pracy o udziale w szkoleniu bez skierowania starosty, finansowanym z publicznych środków wspólnotowych i krajowych, organizowanym przez inny podmiot niż urząd, w terminie 7 dni przed rozpoczęciem szkolenia; </w:t>
      </w:r>
    </w:p>
    <w:p w14:paraId="20110033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w przypadku uczestnictwa w przygotowaniu zawodowym dorosłych - przystąpienie do egzaminu kwalifikacyjnego, czeladniczego lub sprawdzającego; </w:t>
      </w:r>
    </w:p>
    <w:p w14:paraId="47415801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udział w działaniach w ramach Programu Aktywizacja i Integracja, realizowanych przez powiatowy urząd pracy, inne podmioty na jego zlecenie lub przez ośrodek pomocy społecznej; </w:t>
      </w:r>
    </w:p>
    <w:p w14:paraId="30D9F009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podjęcie i uczestniczenie w szkoleniu, stażu, realizacji indywidualnego planu działania, wykonywaniu prac społecznie użytecznych lub innej formie pomocy określonej w ustawie, </w:t>
      </w:r>
    </w:p>
    <w:p w14:paraId="33DA62A9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powiadomienie urzędu pracy o odbywaniu wolontariatu lub praktyki absolwenckiej i przedstawienia  zawartego porozumienia lub umowy; </w:t>
      </w:r>
    </w:p>
    <w:p w14:paraId="5C07BB9E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zwrot kwoty nienależnie pobranego świadczenia (zasiłku, stypendium) wraz z zaliczką na podatek dochodowy od osób fizycznych oraz składką na ubezpieczenie zdrowotne, w terminie 14 dni od dnia doręczenia decyzji; </w:t>
      </w:r>
    </w:p>
    <w:p w14:paraId="2FB58E84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zwrot pożyczki wraz z odsetkami ustawowymi w przypadku wykorzystania jej na cele inne niż określone w umowie, niepodjęcia lub nieukończenia szkolenia; </w:t>
      </w:r>
    </w:p>
    <w:p w14:paraId="632929EE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zwrot kwoty na finansowanie studiów podyplomowych, jeżeli zostały one przerwane z winy bezrobotnego; </w:t>
      </w:r>
    </w:p>
    <w:p w14:paraId="3D3A7058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zwrot kosztów szkolenia, jeżeli nie zostało ono ukończone z winy bezrobotnego, z wyjątkiem sytuacji, gdy przyczyną nieukończenia szkolenia było podjęcie zatrudnienia, innej pracy zarobkowej lub działalności gospodarczej; </w:t>
      </w:r>
    </w:p>
    <w:p w14:paraId="05F4B47E" w14:textId="77777777" w:rsidR="009251F9" w:rsidRPr="009251F9" w:rsidRDefault="009251F9" w:rsidP="009251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zwrot kosztów przygotowania zawodowego dorosłych, z wyjątkiem przypadku, gdy powodem przerwania programu przygotowania zawodowego dorosłych lub nieprzystąpienia do egzaminu kwalifikacyjnego, czeladniczego, sprawdzającego było podjęcie zatrudnienia, innej pracy zarobkowej lub działalności gospodarczej. </w:t>
      </w:r>
    </w:p>
    <w:p w14:paraId="17BCF50E" w14:textId="77777777" w:rsidR="009251F9" w:rsidRPr="009251F9" w:rsidRDefault="009251F9" w:rsidP="00925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4711E52A" w14:textId="77777777" w:rsidR="009251F9" w:rsidRPr="009251F9" w:rsidRDefault="009251F9" w:rsidP="00925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4915640" w14:textId="77777777" w:rsidR="009251F9" w:rsidRPr="009251F9" w:rsidRDefault="009251F9" w:rsidP="00925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Data i podpis bezrobotnego                                                                                      Podpis pracownik</w:t>
      </w:r>
    </w:p>
    <w:p w14:paraId="26A68E7F" w14:textId="77777777" w:rsidR="009251F9" w:rsidRPr="009251F9" w:rsidRDefault="009251F9" w:rsidP="00925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Courier New" w:eastAsia="Times New Roman" w:hAnsi="Courier New" w:cs="Courier New"/>
          <w:b/>
          <w:bCs/>
          <w:color w:val="000000" w:themeColor="text1"/>
          <w:lang w:eastAsia="pl-PL"/>
        </w:rPr>
        <w:t>(</w:t>
      </w:r>
      <w:r w:rsidRPr="009251F9">
        <w:rPr>
          <w:rFonts w:ascii="Courier New" w:eastAsia="Times New Roman" w:hAnsi="Courier New" w:cs="Courier New"/>
          <w:b/>
          <w:bCs/>
          <w:color w:val="000000" w:themeColor="text1"/>
          <w:lang w:val="uk-UA" w:eastAsia="pl-PL"/>
        </w:rPr>
        <w:t>дата та підпис безробітного</w:t>
      </w:r>
      <w:r w:rsidRPr="009251F9">
        <w:rPr>
          <w:b/>
          <w:bCs/>
          <w:color w:val="000000" w:themeColor="text1"/>
        </w:rPr>
        <w:t xml:space="preserve"> )                                                    (  </w:t>
      </w:r>
      <w:r w:rsidRPr="009251F9">
        <w:rPr>
          <w:rFonts w:ascii="Courier New" w:eastAsia="Times New Roman" w:hAnsi="Courier New" w:cs="Courier New"/>
          <w:b/>
          <w:bCs/>
          <w:color w:val="000000" w:themeColor="text1"/>
          <w:lang w:val="uk-UA" w:eastAsia="pl-PL"/>
        </w:rPr>
        <w:t>підпис працівника</w:t>
      </w:r>
      <w:r w:rsidRPr="009251F9">
        <w:rPr>
          <w:rFonts w:ascii="Courier New" w:eastAsia="Times New Roman" w:hAnsi="Courier New" w:cs="Courier New"/>
          <w:b/>
          <w:bCs/>
          <w:color w:val="000000" w:themeColor="text1"/>
          <w:lang w:eastAsia="pl-PL"/>
        </w:rPr>
        <w:t>)</w:t>
      </w:r>
    </w:p>
    <w:p w14:paraId="5EB56F48" w14:textId="77777777" w:rsidR="009251F9" w:rsidRPr="009251F9" w:rsidRDefault="009251F9" w:rsidP="00925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717B127E" w14:textId="77777777" w:rsidR="009251F9" w:rsidRPr="009251F9" w:rsidRDefault="009251F9" w:rsidP="00925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………………………….                                                                                         ………………………</w:t>
      </w:r>
    </w:p>
    <w:p w14:paraId="198156D9" w14:textId="77777777" w:rsidR="009251F9" w:rsidRPr="009251F9" w:rsidRDefault="009251F9" w:rsidP="009251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p w14:paraId="11ED8C0A" w14:textId="77777777" w:rsidR="009251F9" w:rsidRPr="009251F9" w:rsidRDefault="009251F9" w:rsidP="009251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Podstawa prawna</w:t>
      </w:r>
    </w:p>
    <w:p w14:paraId="612220DD" w14:textId="77777777" w:rsidR="009251F9" w:rsidRPr="009251F9" w:rsidRDefault="009251F9" w:rsidP="009251F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24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ustawa z dnia 20 kwietnia 2004 r. o promocji zatrudnienia i instytucjach rynku pracy (Dz. U. z 2021 r. poz. 1100, z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późn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. zm.)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  </w:t>
      </w:r>
    </w:p>
    <w:p w14:paraId="7553B831" w14:textId="77777777" w:rsidR="009251F9" w:rsidRPr="009251F9" w:rsidRDefault="009251F9" w:rsidP="009251F9">
      <w:pPr>
        <w:rPr>
          <w:color w:val="000000" w:themeColor="text1"/>
          <w:sz w:val="20"/>
          <w:szCs w:val="20"/>
        </w:rPr>
      </w:pPr>
    </w:p>
    <w:p w14:paraId="6BF454D3" w14:textId="77777777" w:rsidR="009251F9" w:rsidRPr="009251F9" w:rsidRDefault="009251F9" w:rsidP="009251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lastRenderedPageBreak/>
        <w:t>Права</w:t>
      </w:r>
      <w:proofErr w:type="spellEnd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обов'язки</w:t>
      </w:r>
      <w:proofErr w:type="spellEnd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безробітного</w:t>
      </w:r>
      <w:proofErr w:type="spellEnd"/>
    </w:p>
    <w:p w14:paraId="176712BF" w14:textId="518BE610" w:rsidR="009251F9" w:rsidRPr="009251F9" w:rsidRDefault="009251F9" w:rsidP="009251F9">
      <w:pPr>
        <w:keepNext/>
        <w:keepLines/>
        <w:spacing w:before="40" w:after="0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                      (</w:t>
      </w:r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Prawa i obowiązki osoby bezrobotnej</w:t>
      </w:r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)</w:t>
      </w:r>
    </w:p>
    <w:p w14:paraId="6846F909" w14:textId="77777777" w:rsidR="009251F9" w:rsidRPr="009251F9" w:rsidRDefault="009251F9" w:rsidP="009251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Права</w:t>
      </w:r>
      <w:proofErr w:type="spellEnd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безробітного</w:t>
      </w:r>
      <w:proofErr w:type="spellEnd"/>
    </w:p>
    <w:p w14:paraId="05CCAB56" w14:textId="77777777" w:rsidR="009251F9" w:rsidRPr="009251F9" w:rsidRDefault="009251F9" w:rsidP="00925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безробітний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маєте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право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14:paraId="17D5A649" w14:textId="77777777" w:rsidR="009251F9" w:rsidRPr="009251F9" w:rsidRDefault="009251F9" w:rsidP="00925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реєстрація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відповідному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повітовому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відділі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після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подання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необхідних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документів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7A590027" w14:textId="77777777" w:rsidR="009251F9" w:rsidRPr="009251F9" w:rsidRDefault="009251F9" w:rsidP="00925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безробіттю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відповідаєте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встановленим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законодавством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умовам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її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отримання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4367DCDE" w14:textId="77777777" w:rsidR="009251F9" w:rsidRPr="009251F9" w:rsidRDefault="009251F9" w:rsidP="00925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безкоштовне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користування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послугами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ринку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такими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як:</w:t>
      </w:r>
      <w:hyperlink r:id="rId25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працевлаштування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в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країні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та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за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кордоном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</w:t>
      </w:r>
      <w:hyperlink r:id="rId26" w:history="1"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консультування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щодо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кар'єри</w:t>
        </w:r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організована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і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воєводських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бюро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0290FE81" w14:textId="77777777" w:rsidR="009251F9" w:rsidRPr="009251F9" w:rsidRDefault="009251F9" w:rsidP="00925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застосовувати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для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14:paraId="0F8043C7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27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відшкодування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витрат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проїзд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та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проживання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46B4E384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28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кошти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відкриття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бізнесу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, </w:t>
      </w:r>
      <w:hyperlink r:id="rId29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створення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або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вступ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соціального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кооперативу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24890E9B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0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допомога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активацію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застосовується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мають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право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безробіттю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);</w:t>
      </w:r>
    </w:p>
    <w:p w14:paraId="39020702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1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відшкодування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витрат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догляд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за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кожною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дитиною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віком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7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років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1DD3A222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2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ваучер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працевлаштування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для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безробітних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30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років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5AFFB3FD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3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розрахункова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путівка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для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безробітного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30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років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1EA8CF3F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4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участь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у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навчанні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за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кошти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Фонду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праці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,</w:t>
      </w:r>
    </w:p>
    <w:p w14:paraId="4D2371A9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5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участь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у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професійній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підготовці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дорослих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63CC4F10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6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стажування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3001FD84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7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стипендію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для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подальшої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освіти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57678F96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8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співфінансування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навчання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в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аспірантурі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3AFC5724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39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фінансування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іспитів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та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ліцензій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7DA7DE42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40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кредит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навчання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2C06968B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41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кредит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для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відкриття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бізнесу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13CA230C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42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ваучер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навчання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для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безробітних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30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років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;</w:t>
      </w:r>
    </w:p>
    <w:p w14:paraId="4CAF40F3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hyperlink r:id="rId43" w:history="1"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ваучер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на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стажування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для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безробітних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до</w:t>
        </w:r>
        <w:proofErr w:type="spellEnd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 xml:space="preserve"> 30 </w:t>
        </w:r>
        <w:proofErr w:type="spellStart"/>
        <w:r w:rsidRPr="009251F9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u w:val="single"/>
            <w:lang w:eastAsia="pl-PL"/>
          </w:rPr>
          <w:t>років</w:t>
        </w:r>
        <w:proofErr w:type="spellEnd"/>
      </w:hyperlink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</w:p>
    <w:p w14:paraId="7A5B8FF4" w14:textId="77777777" w:rsidR="009251F9" w:rsidRPr="009251F9" w:rsidRDefault="009251F9" w:rsidP="009251F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направлення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юридичних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осіб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комунальних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підприємств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роботодавців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підприємців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пільгове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працевлаштування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наприклад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рамках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інтервенційних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робіт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громадських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робіт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суспільно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корисних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робіт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субсидії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дистанційну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пільг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активацію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після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перерви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пов’язаної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вихованням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дитини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доглядом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утриманцем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25AE7024" w14:textId="77777777" w:rsidR="009251F9" w:rsidRPr="009251F9" w:rsidRDefault="009251F9" w:rsidP="009251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медичне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страхування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підлягаєте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медичному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страхуванню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причини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наприклад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страхування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фермерів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KRUS,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для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отримання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пенсії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зв’язку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втратою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годувальника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3010C928" w14:textId="77777777" w:rsidR="009251F9" w:rsidRPr="009251F9" w:rsidRDefault="009251F9" w:rsidP="009251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Обов'язки</w:t>
      </w:r>
      <w:proofErr w:type="spellEnd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безробітного</w:t>
      </w:r>
      <w:proofErr w:type="spellEnd"/>
    </w:p>
    <w:p w14:paraId="0F01C03A" w14:textId="77777777" w:rsidR="009251F9" w:rsidRPr="009251F9" w:rsidRDefault="009251F9" w:rsidP="009251F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безробітний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зареєстрований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повітовому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бюро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ваших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обов’язків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входить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:</w:t>
      </w:r>
    </w:p>
    <w:p w14:paraId="5138297E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звітувати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відповідного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бюро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встановлені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строки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метою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прийняття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відповідної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форми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запропонованої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відомством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метою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випливає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акту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визначена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органом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тому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числі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для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підтвердження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готовності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прийняти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підвищення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рівня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зайнятості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729C97FE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повідомити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7-денний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строк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управління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поважну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причину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неявки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встановлений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строк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7C7FE793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прийняття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пропозицій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відповідної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форми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зазначеної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Законі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51E3FFCB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проходження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медичного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психологічного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огляду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спрямованого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визначення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працездатності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участі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видах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визначених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Законом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32D8DF4C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надання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бюро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медичної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довідки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* </w:t>
      </w: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  <w:t xml:space="preserve">*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працюєте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і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можете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працювати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через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хворобу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перебуваєте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наркологічній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установі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безперервно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90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днів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а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періоди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непрацездатності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через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хвороба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перебування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закладі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також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вважаються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безперервним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періодом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лікування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наркоманії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ситуації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коли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кожна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наступна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перерва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між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періодами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непрацездатності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становить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менше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30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календарних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днів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;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позбавлення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статусу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відбувається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останній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день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зазначеного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90-денного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строку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44FB2433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lastRenderedPageBreak/>
        <w:t>повідомлення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7-денний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термін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інспекції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прийняття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оплачувану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контракт-мандат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договір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певну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незалежно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розміру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винагороди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подання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заяви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внесення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ЦРБ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відомостей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господарську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діяльність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. а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також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настання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обставин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спричиняють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втрату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статусу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втрату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права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безробіттю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наприклад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отримання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місячного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доходу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найменування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розмірі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перевищує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половину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мінімальної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винагороди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оподатковується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ПДФО) -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неподання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цей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факт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карається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штрафом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71A89E34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повідомляти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уповноважений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відділ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зміну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місця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проживання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перебування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звітувати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управління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компетентного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новим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місцем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проживання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протягом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днів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зміни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місця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проживання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6CCA1D62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повідомлення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офіс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перебування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кордоном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будь-яку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ситуацію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спричинила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неготовність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прийняття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цей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строк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може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перевищувати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10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днів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протягом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одного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календарного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);</w:t>
      </w:r>
    </w:p>
    <w:p w14:paraId="20D63968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повідомлення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управління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участь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направлення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старости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фінансується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громадських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національних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коштів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організованого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особою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7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днів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початку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5565078C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разі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участі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професійній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підготовці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дорослих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-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вступ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кваліфікаційний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учнівський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контрольний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іспит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1FDF6B9D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участь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заходах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Програмою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активізації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інтеграції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здійснюються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повітовим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бюро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іншими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суб’єктами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його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імені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центром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соціального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захисту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населення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59303323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проведення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участь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стажуванні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виконанні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індивідуального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плану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дій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виконанні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суспільно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корисної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форми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визначеної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Законом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,</w:t>
      </w:r>
    </w:p>
    <w:p w14:paraId="29269C09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повідомлення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служби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зайнятості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добровільну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аспірантську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практику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пред’явлення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укладеного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договору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контракту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493CC256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відшкодування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суми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неправомірно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отриманої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(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допомоги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стипендії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)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разом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авансом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податку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доходи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фізичних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осіб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внесків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медичне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страхування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протягом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14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днів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вручення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рішення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3AF83881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погашення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позики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статутними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відсотками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разі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її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використання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цілі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відмінні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зазначених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у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договорі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непроходження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незавершення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5F9C8FD8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відшкодування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суми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фінансування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в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аспірантурі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воно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було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перервано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вини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1447294A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відшкодування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витрат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якщо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воно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було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завершено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з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вини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безробітного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крім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випадків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коли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причиною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непроходження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було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працевлаштування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прибуткова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підприємницька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діяльність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0907AADE" w14:textId="77777777" w:rsidR="009251F9" w:rsidRPr="009251F9" w:rsidRDefault="009251F9" w:rsidP="009251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відшкодування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витрат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для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дорослих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за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винятком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випадків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коли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причиною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припинення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програми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навчання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для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дорослих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або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нескладання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кваліфікаційного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учнівського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контрольного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іспиту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було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прийняття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на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,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іншу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оплачувану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роботу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чи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підприємницьку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</w:t>
      </w:r>
      <w:proofErr w:type="spellStart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діяльність</w:t>
      </w:r>
      <w:proofErr w:type="spellEnd"/>
      <w:r w:rsidRPr="009251F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</w:t>
      </w:r>
    </w:p>
    <w:p w14:paraId="0632B5DB" w14:textId="77777777" w:rsidR="009251F9" w:rsidRPr="009251F9" w:rsidRDefault="009251F9" w:rsidP="009251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627756AB" w14:textId="77777777" w:rsidR="009251F9" w:rsidRPr="009251F9" w:rsidRDefault="009251F9" w:rsidP="009251F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pl-PL"/>
        </w:rPr>
      </w:pPr>
      <w:r w:rsidRPr="009251F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pl-PL"/>
        </w:rPr>
        <w:t xml:space="preserve">     </w:t>
      </w:r>
      <w:r w:rsidRPr="009251F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val="uk-UA" w:eastAsia="pl-PL"/>
        </w:rPr>
        <w:t>дата та підпис безробітного</w:t>
      </w:r>
      <w:r w:rsidRPr="009251F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pl-PL"/>
        </w:rPr>
        <w:t xml:space="preserve">                    </w:t>
      </w:r>
      <w:r w:rsidRPr="009251F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val="uk-UA" w:eastAsia="pl-PL"/>
        </w:rPr>
        <w:t>підпис працівника</w:t>
      </w:r>
    </w:p>
    <w:p w14:paraId="1744BC3C" w14:textId="77777777" w:rsidR="009251F9" w:rsidRPr="009251F9" w:rsidRDefault="009251F9" w:rsidP="009251F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pl-PL"/>
        </w:rPr>
      </w:pPr>
      <w:r w:rsidRPr="009251F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pl-PL"/>
        </w:rPr>
        <w:t xml:space="preserve">          (data i podpis)                          (podpis pracownika)</w:t>
      </w:r>
    </w:p>
    <w:p w14:paraId="42F602AB" w14:textId="77777777" w:rsidR="009251F9" w:rsidRPr="009251F9" w:rsidRDefault="009251F9" w:rsidP="009251F9">
      <w:pPr>
        <w:spacing w:after="0" w:line="240" w:lineRule="auto"/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pl-PL"/>
        </w:rPr>
      </w:pPr>
      <w:r w:rsidRPr="009251F9">
        <w:rPr>
          <w:rFonts w:ascii="Courier New" w:eastAsia="Times New Roman" w:hAnsi="Courier New" w:cs="Courier New"/>
          <w:b/>
          <w:bCs/>
          <w:color w:val="000000" w:themeColor="text1"/>
          <w:sz w:val="20"/>
          <w:szCs w:val="20"/>
          <w:lang w:eastAsia="pl-PL"/>
        </w:rPr>
        <w:t xml:space="preserve"> </w:t>
      </w:r>
    </w:p>
    <w:p w14:paraId="72D12ECA" w14:textId="77777777" w:rsidR="009251F9" w:rsidRPr="009251F9" w:rsidRDefault="009251F9" w:rsidP="009251F9">
      <w:pPr>
        <w:rPr>
          <w:b/>
          <w:bCs/>
          <w:color w:val="000000" w:themeColor="text1"/>
          <w:sz w:val="20"/>
          <w:szCs w:val="20"/>
        </w:rPr>
      </w:pPr>
      <w:r w:rsidRPr="009251F9">
        <w:rPr>
          <w:b/>
          <w:bCs/>
          <w:color w:val="000000" w:themeColor="text1"/>
          <w:sz w:val="20"/>
          <w:szCs w:val="20"/>
        </w:rPr>
        <w:t xml:space="preserve">                          …………………………                                                                                 ………………………………..</w:t>
      </w:r>
    </w:p>
    <w:p w14:paraId="5DFCDEF6" w14:textId="77777777" w:rsidR="009251F9" w:rsidRPr="009251F9" w:rsidRDefault="009251F9" w:rsidP="009251F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49026CA4" w14:textId="77777777" w:rsidR="009251F9" w:rsidRPr="009251F9" w:rsidRDefault="009251F9" w:rsidP="009251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D0EB148" w14:textId="77777777" w:rsidR="009251F9" w:rsidRPr="009251F9" w:rsidRDefault="009251F9" w:rsidP="009251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</w:pPr>
    </w:p>
    <w:p w14:paraId="7DEBF5C1" w14:textId="77777777" w:rsidR="005976F9" w:rsidRPr="009251F9" w:rsidRDefault="005976F9">
      <w:pPr>
        <w:rPr>
          <w:color w:val="000000" w:themeColor="text1"/>
        </w:rPr>
      </w:pPr>
    </w:p>
    <w:sectPr w:rsidR="005976F9" w:rsidRPr="0092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336"/>
    <w:multiLevelType w:val="multilevel"/>
    <w:tmpl w:val="6A18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720C52"/>
    <w:multiLevelType w:val="multilevel"/>
    <w:tmpl w:val="9920F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11F64"/>
    <w:multiLevelType w:val="multilevel"/>
    <w:tmpl w:val="EB1A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93625A"/>
    <w:multiLevelType w:val="multilevel"/>
    <w:tmpl w:val="C2689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2602CF"/>
    <w:multiLevelType w:val="multilevel"/>
    <w:tmpl w:val="E964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F9"/>
    <w:rsid w:val="005976F9"/>
    <w:rsid w:val="009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1696"/>
  <w15:chartTrackingRefBased/>
  <w15:docId w15:val="{B21467D1-8555-4645-A737-C3786FC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51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klo.praca.gov.pl/-/36044-bon-na-zasiedlenie" TargetMode="External"/><Relationship Id="rId18" Type="http://schemas.openxmlformats.org/officeDocument/2006/relationships/hyperlink" Target="https://naklo.praca.gov.pl/-/14223-dofinansowanie-studiow-podyplomowych" TargetMode="External"/><Relationship Id="rId26" Type="http://schemas.openxmlformats.org/officeDocument/2006/relationships/hyperlink" Target="https://naklo.praca.gov.pl/-/13973-poradnictwo-zawodowe" TargetMode="External"/><Relationship Id="rId39" Type="http://schemas.openxmlformats.org/officeDocument/2006/relationships/hyperlink" Target="https://naklo.praca.gov.pl/-/14203-finansowanie-kosztow-egzaminow-i-licencji" TargetMode="External"/><Relationship Id="rId21" Type="http://schemas.openxmlformats.org/officeDocument/2006/relationships/hyperlink" Target="https://naklo.praca.gov.pl/-/953769-pozyczka-na-podjecie-dzialalnosci-gospodarczej" TargetMode="External"/><Relationship Id="rId34" Type="http://schemas.openxmlformats.org/officeDocument/2006/relationships/hyperlink" Target="https://naklo.praca.gov.pl/-/14183-szkolenia-i-bony-szkoleniowe" TargetMode="External"/><Relationship Id="rId42" Type="http://schemas.openxmlformats.org/officeDocument/2006/relationships/hyperlink" Target="https://naklo.praca.gov.pl/-/14183-szkolenia-i-bony-szkoleniowe" TargetMode="External"/><Relationship Id="rId7" Type="http://schemas.openxmlformats.org/officeDocument/2006/relationships/hyperlink" Target="https://naklo.praca.gov.pl/-/14153-zwrot-kosztow-przejazdu-i-zakwaterowan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klo.praca.gov.pl/-/14233-staze-i-bony-stazowe" TargetMode="External"/><Relationship Id="rId29" Type="http://schemas.openxmlformats.org/officeDocument/2006/relationships/hyperlink" Target="https://naklo.praca.gov.pl/-/1047760-dofinansowanie-podjecia-dzialalnosci-na-zasadach-okreslonych-dla-spoldzielni-socjalny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klo.praca.gov.pl/-/13973-poradnictwo-zawodowe" TargetMode="External"/><Relationship Id="rId11" Type="http://schemas.openxmlformats.org/officeDocument/2006/relationships/hyperlink" Target="https://naklo.praca.gov.pl/-/14163-refundacja-kosztow-opieki-nad-dzieckiem-do-lat-6-lub-osoba-zalezna" TargetMode="External"/><Relationship Id="rId24" Type="http://schemas.openxmlformats.org/officeDocument/2006/relationships/hyperlink" Target="https://naklo.praca.gov.pl/-/120524-ujednolicony-tekst-ustawy-z-dnia-20-kwietnia-2004r-o-promocji-zatrudnienia-i-instytucjach-rynku-pracy" TargetMode="External"/><Relationship Id="rId32" Type="http://schemas.openxmlformats.org/officeDocument/2006/relationships/hyperlink" Target="https://naklo.praca.gov.pl/-/36016-bon-zatrudnieniowy" TargetMode="External"/><Relationship Id="rId37" Type="http://schemas.openxmlformats.org/officeDocument/2006/relationships/hyperlink" Target="https://naklo.praca.gov.pl/-/14213-stypendium-z-tytulu-podjecia-dalszej-nauki" TargetMode="External"/><Relationship Id="rId40" Type="http://schemas.openxmlformats.org/officeDocument/2006/relationships/hyperlink" Target="https://naklo.praca.gov.pl/-/14193-pozyczka-szkoleniowa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naklo.praca.gov.pl/-/13953-posrednictwo-pracy" TargetMode="External"/><Relationship Id="rId15" Type="http://schemas.openxmlformats.org/officeDocument/2006/relationships/hyperlink" Target="https://naklo.praca.gov.pl/-/14243-przygotowanie-zawodowe-doroslych" TargetMode="External"/><Relationship Id="rId23" Type="http://schemas.openxmlformats.org/officeDocument/2006/relationships/hyperlink" Target="https://naklo.praca.gov.pl/-/14233-staze-i-bony-stazowe" TargetMode="External"/><Relationship Id="rId28" Type="http://schemas.openxmlformats.org/officeDocument/2006/relationships/hyperlink" Target="https://naklo.praca.gov.pl/-/14123-dofinansowanie-podjecia-dzialalnosci-gospodarczej" TargetMode="External"/><Relationship Id="rId36" Type="http://schemas.openxmlformats.org/officeDocument/2006/relationships/hyperlink" Target="https://naklo.praca.gov.pl/-/14233-staze-i-bony-stazowe" TargetMode="External"/><Relationship Id="rId10" Type="http://schemas.openxmlformats.org/officeDocument/2006/relationships/hyperlink" Target="https://naklo.praca.gov.pl/-/14283-dodatek-aktywizacyjny" TargetMode="External"/><Relationship Id="rId19" Type="http://schemas.openxmlformats.org/officeDocument/2006/relationships/hyperlink" Target="https://naklo.praca.gov.pl/-/14203-finansowanie-kosztow-egzaminow-i-licencji" TargetMode="External"/><Relationship Id="rId31" Type="http://schemas.openxmlformats.org/officeDocument/2006/relationships/hyperlink" Target="https://naklo.praca.gov.pl/-/14163-refundacja-kosztow-opieki-nad-dzieckiem-do-lat-6-lub-osoba-zalezna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klo.praca.gov.pl/-/1047760-dofinansowanie-podjecia-dzialalnosci-na-zasadach-okreslonych-dla-spoldzielni-socjalnych" TargetMode="External"/><Relationship Id="rId14" Type="http://schemas.openxmlformats.org/officeDocument/2006/relationships/hyperlink" Target="https://naklo.praca.gov.pl/-/14183-szkolenia-i-bony-szkoleniowe" TargetMode="External"/><Relationship Id="rId22" Type="http://schemas.openxmlformats.org/officeDocument/2006/relationships/hyperlink" Target="https://naklo.praca.gov.pl/-/14183-szkolenia-i-bony-szkoleniowe" TargetMode="External"/><Relationship Id="rId27" Type="http://schemas.openxmlformats.org/officeDocument/2006/relationships/hyperlink" Target="https://naklo.praca.gov.pl/-/14153-zwrot-kosztow-przejazdu-i-zakwaterowania" TargetMode="External"/><Relationship Id="rId30" Type="http://schemas.openxmlformats.org/officeDocument/2006/relationships/hyperlink" Target="https://naklo.praca.gov.pl/-/14283-dodatek-aktywizacyjny" TargetMode="External"/><Relationship Id="rId35" Type="http://schemas.openxmlformats.org/officeDocument/2006/relationships/hyperlink" Target="https://naklo.praca.gov.pl/-/14243-przygotowanie-zawodowe-doroslych" TargetMode="External"/><Relationship Id="rId43" Type="http://schemas.openxmlformats.org/officeDocument/2006/relationships/hyperlink" Target="https://naklo.praca.gov.pl/-/14233-staze-i-bony-stazowe" TargetMode="External"/><Relationship Id="rId8" Type="http://schemas.openxmlformats.org/officeDocument/2006/relationships/hyperlink" Target="https://naklo.praca.gov.pl/-/14123-dofinansowanie-podjecia-dzialalnosci-gospodarczej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aklo.praca.gov.pl/-/36016-bon-zatrudnieniowy" TargetMode="External"/><Relationship Id="rId17" Type="http://schemas.openxmlformats.org/officeDocument/2006/relationships/hyperlink" Target="https://naklo.praca.gov.pl/-/14213-stypendium-z-tytulu-podjecia-dalszej-nauki" TargetMode="External"/><Relationship Id="rId25" Type="http://schemas.openxmlformats.org/officeDocument/2006/relationships/hyperlink" Target="https://naklo.praca.gov.pl/-/13953-posrednictwo-pracy" TargetMode="External"/><Relationship Id="rId33" Type="http://schemas.openxmlformats.org/officeDocument/2006/relationships/hyperlink" Target="https://naklo.praca.gov.pl/-/36044-bon-na-zasiedlenie" TargetMode="External"/><Relationship Id="rId38" Type="http://schemas.openxmlformats.org/officeDocument/2006/relationships/hyperlink" Target="https://naklo.praca.gov.pl/-/14223-dofinansowanie-studiow-podyplomowych" TargetMode="External"/><Relationship Id="rId20" Type="http://schemas.openxmlformats.org/officeDocument/2006/relationships/hyperlink" Target="https://naklo.praca.gov.pl/-/14193-pozyczka-szkoleniowa" TargetMode="External"/><Relationship Id="rId41" Type="http://schemas.openxmlformats.org/officeDocument/2006/relationships/hyperlink" Target="https://naklo.praca.gov.pl/-/953769-pozyczka-na-podjecie-dzialalnosci-gospodarczej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2305</Words>
  <Characters>13836</Characters>
  <Application>Microsoft Office Word</Application>
  <DocSecurity>0</DocSecurity>
  <Lines>115</Lines>
  <Paragraphs>32</Paragraphs>
  <ScaleCrop>false</ScaleCrop>
  <Company/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Nowak</dc:creator>
  <cp:keywords/>
  <dc:description/>
  <cp:lastModifiedBy>Wioletta Nowak</cp:lastModifiedBy>
  <cp:revision>1</cp:revision>
  <dcterms:created xsi:type="dcterms:W3CDTF">2022-03-21T09:23:00Z</dcterms:created>
  <dcterms:modified xsi:type="dcterms:W3CDTF">2022-03-21T09:24:00Z</dcterms:modified>
</cp:coreProperties>
</file>